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4D" w:rsidRDefault="0068100A" w:rsidP="0068100A">
      <w:pPr>
        <w:jc w:val="center"/>
        <w:rPr>
          <w:sz w:val="44"/>
          <w:szCs w:val="44"/>
        </w:rPr>
      </w:pPr>
      <w:r w:rsidRPr="00591C33">
        <w:rPr>
          <w:rFonts w:hint="eastAsia"/>
          <w:sz w:val="44"/>
          <w:szCs w:val="44"/>
        </w:rPr>
        <w:t>华夏</w:t>
      </w:r>
      <w:proofErr w:type="gramStart"/>
      <w:r w:rsidRPr="00591C33">
        <w:rPr>
          <w:rFonts w:hint="eastAsia"/>
          <w:sz w:val="44"/>
          <w:szCs w:val="44"/>
        </w:rPr>
        <w:t>久盈资产</w:t>
      </w:r>
      <w:proofErr w:type="gramEnd"/>
      <w:r w:rsidRPr="00591C33">
        <w:rPr>
          <w:rFonts w:hint="eastAsia"/>
          <w:sz w:val="44"/>
          <w:szCs w:val="44"/>
        </w:rPr>
        <w:t>管理有限责任公司</w:t>
      </w:r>
    </w:p>
    <w:p w:rsidR="00941D35" w:rsidRPr="00946503" w:rsidRDefault="0068100A" w:rsidP="00946503">
      <w:pPr>
        <w:jc w:val="center"/>
        <w:rPr>
          <w:sz w:val="44"/>
          <w:szCs w:val="44"/>
        </w:rPr>
      </w:pPr>
      <w:r w:rsidRPr="00591C33">
        <w:rPr>
          <w:rFonts w:hint="eastAsia"/>
          <w:sz w:val="44"/>
          <w:szCs w:val="44"/>
        </w:rPr>
        <w:t>关于</w:t>
      </w:r>
      <w:r w:rsidR="008A7A20">
        <w:rPr>
          <w:rFonts w:hint="eastAsia"/>
          <w:sz w:val="44"/>
          <w:szCs w:val="44"/>
        </w:rPr>
        <w:t>与华夏人寿签订《</w:t>
      </w:r>
      <w:r w:rsidR="001C68E2">
        <w:rPr>
          <w:rFonts w:hint="eastAsia"/>
          <w:sz w:val="44"/>
          <w:szCs w:val="44"/>
        </w:rPr>
        <w:t>关联交易统一交易协议</w:t>
      </w:r>
      <w:r w:rsidR="008A7A20">
        <w:rPr>
          <w:rFonts w:hint="eastAsia"/>
          <w:sz w:val="44"/>
          <w:szCs w:val="44"/>
        </w:rPr>
        <w:t>》</w:t>
      </w:r>
      <w:r w:rsidR="0089004D">
        <w:rPr>
          <w:rFonts w:hint="eastAsia"/>
          <w:sz w:val="44"/>
          <w:szCs w:val="44"/>
        </w:rPr>
        <w:t>关联交易的</w:t>
      </w:r>
      <w:r w:rsidR="0000725B">
        <w:rPr>
          <w:rFonts w:hint="eastAsia"/>
          <w:sz w:val="44"/>
          <w:szCs w:val="44"/>
        </w:rPr>
        <w:t>信息披露公告</w:t>
      </w:r>
    </w:p>
    <w:p w:rsidR="005A226B" w:rsidRDefault="005A226B" w:rsidP="005A226B">
      <w:pPr>
        <w:spacing w:line="360" w:lineRule="auto"/>
        <w:ind w:firstLine="658"/>
        <w:rPr>
          <w:sz w:val="32"/>
          <w:szCs w:val="32"/>
        </w:rPr>
      </w:pPr>
    </w:p>
    <w:p w:rsidR="0068100A" w:rsidRPr="00BE6278" w:rsidRDefault="0068100A"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根据中国保监会《保险公司资金运用信息披露准则1号：关联交易》</w:t>
      </w:r>
      <w:r w:rsidR="00A10231" w:rsidRPr="00BE6278">
        <w:rPr>
          <w:rFonts w:ascii="仿宋" w:eastAsia="仿宋" w:hAnsi="仿宋" w:hint="eastAsia"/>
          <w:sz w:val="32"/>
          <w:szCs w:val="32"/>
        </w:rPr>
        <w:t>、《中国保监会关于进一步加强保险公司关联交易信息披露工作有关问题的通知》等</w:t>
      </w:r>
      <w:r w:rsidRPr="00BE6278">
        <w:rPr>
          <w:rFonts w:ascii="仿宋" w:eastAsia="仿宋" w:hAnsi="仿宋" w:hint="eastAsia"/>
          <w:sz w:val="32"/>
          <w:szCs w:val="32"/>
        </w:rPr>
        <w:t>相关规定，现将</w:t>
      </w:r>
      <w:r w:rsidR="00591C33" w:rsidRPr="00BE6278">
        <w:rPr>
          <w:rFonts w:ascii="仿宋" w:eastAsia="仿宋" w:hAnsi="仿宋" w:hint="eastAsia"/>
          <w:sz w:val="32"/>
          <w:szCs w:val="32"/>
        </w:rPr>
        <w:t>华夏人寿保险股份有限公司（以下简称“华夏人寿”）与华夏</w:t>
      </w:r>
      <w:proofErr w:type="gramStart"/>
      <w:r w:rsidR="00591C33" w:rsidRPr="00BE6278">
        <w:rPr>
          <w:rFonts w:ascii="仿宋" w:eastAsia="仿宋" w:hAnsi="仿宋" w:hint="eastAsia"/>
          <w:sz w:val="32"/>
          <w:szCs w:val="32"/>
        </w:rPr>
        <w:t>久盈资产</w:t>
      </w:r>
      <w:proofErr w:type="gramEnd"/>
      <w:r w:rsidR="00591C33" w:rsidRPr="00BE6278">
        <w:rPr>
          <w:rFonts w:ascii="仿宋" w:eastAsia="仿宋" w:hAnsi="仿宋" w:hint="eastAsia"/>
          <w:sz w:val="32"/>
          <w:szCs w:val="32"/>
        </w:rPr>
        <w:t>管理有限责任公司（以下简称“我公司”或“华夏久盈”）签署的《</w:t>
      </w:r>
      <w:r w:rsidR="001C68E2" w:rsidRPr="00BE6278">
        <w:rPr>
          <w:rFonts w:ascii="仿宋" w:eastAsia="仿宋" w:hAnsi="仿宋" w:hint="eastAsia"/>
          <w:sz w:val="32"/>
          <w:szCs w:val="32"/>
        </w:rPr>
        <w:t>关联交易统一交易协议</w:t>
      </w:r>
      <w:r w:rsidR="00591C33" w:rsidRPr="00BE6278">
        <w:rPr>
          <w:rFonts w:ascii="仿宋" w:eastAsia="仿宋" w:hAnsi="仿宋" w:hint="eastAsia"/>
          <w:sz w:val="32"/>
          <w:szCs w:val="32"/>
        </w:rPr>
        <w:t>》关联交易情况披露如下：</w:t>
      </w:r>
    </w:p>
    <w:p w:rsidR="008A2A9C" w:rsidRPr="00BE6278" w:rsidRDefault="008A2A9C" w:rsidP="005A226B">
      <w:pPr>
        <w:spacing w:line="360" w:lineRule="auto"/>
        <w:ind w:firstLine="658"/>
        <w:rPr>
          <w:rFonts w:ascii="仿宋" w:eastAsia="仿宋" w:hAnsi="仿宋"/>
          <w:b/>
          <w:sz w:val="32"/>
          <w:szCs w:val="32"/>
        </w:rPr>
      </w:pPr>
      <w:r w:rsidRPr="00BE6278">
        <w:rPr>
          <w:rFonts w:ascii="仿宋" w:eastAsia="仿宋" w:hAnsi="仿宋" w:hint="eastAsia"/>
          <w:b/>
          <w:sz w:val="32"/>
          <w:szCs w:val="32"/>
        </w:rPr>
        <w:t>一、交易概述及交易标的</w:t>
      </w:r>
      <w:proofErr w:type="gramStart"/>
      <w:r w:rsidRPr="00BE6278">
        <w:rPr>
          <w:rFonts w:ascii="仿宋" w:eastAsia="仿宋" w:hAnsi="仿宋" w:hint="eastAsia"/>
          <w:b/>
          <w:sz w:val="32"/>
          <w:szCs w:val="32"/>
        </w:rPr>
        <w:t>的</w:t>
      </w:r>
      <w:proofErr w:type="gramEnd"/>
      <w:r w:rsidRPr="00BE6278">
        <w:rPr>
          <w:rFonts w:ascii="仿宋" w:eastAsia="仿宋" w:hAnsi="仿宋" w:hint="eastAsia"/>
          <w:b/>
          <w:sz w:val="32"/>
          <w:szCs w:val="32"/>
        </w:rPr>
        <w:t>基本情况</w:t>
      </w:r>
    </w:p>
    <w:p w:rsidR="008A2A9C" w:rsidRPr="00BE6278" w:rsidRDefault="008A2A9C"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（一）交易概述</w:t>
      </w:r>
    </w:p>
    <w:p w:rsidR="008A2A9C" w:rsidRPr="00BE6278" w:rsidRDefault="004C7210"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201</w:t>
      </w:r>
      <w:r w:rsidR="00BB1C8D" w:rsidRPr="00BE6278">
        <w:rPr>
          <w:rFonts w:ascii="仿宋" w:eastAsia="仿宋" w:hAnsi="仿宋" w:hint="eastAsia"/>
          <w:sz w:val="32"/>
          <w:szCs w:val="32"/>
        </w:rPr>
        <w:t>7</w:t>
      </w:r>
      <w:r w:rsidRPr="00BE6278">
        <w:rPr>
          <w:rFonts w:ascii="仿宋" w:eastAsia="仿宋" w:hAnsi="仿宋" w:hint="eastAsia"/>
          <w:sz w:val="32"/>
          <w:szCs w:val="32"/>
        </w:rPr>
        <w:t>年</w:t>
      </w:r>
      <w:r w:rsidR="001C68E2" w:rsidRPr="00BE6278">
        <w:rPr>
          <w:rFonts w:ascii="仿宋" w:eastAsia="仿宋" w:hAnsi="仿宋" w:hint="eastAsia"/>
          <w:sz w:val="32"/>
          <w:szCs w:val="32"/>
        </w:rPr>
        <w:t>5</w:t>
      </w:r>
      <w:r w:rsidR="00E503FA" w:rsidRPr="00BE6278">
        <w:rPr>
          <w:rFonts w:ascii="仿宋" w:eastAsia="仿宋" w:hAnsi="仿宋" w:hint="eastAsia"/>
          <w:sz w:val="32"/>
          <w:szCs w:val="32"/>
        </w:rPr>
        <w:t>月</w:t>
      </w:r>
      <w:r w:rsidR="00591C33" w:rsidRPr="00BE6278">
        <w:rPr>
          <w:rFonts w:ascii="仿宋" w:eastAsia="仿宋" w:hAnsi="仿宋" w:hint="eastAsia"/>
          <w:sz w:val="32"/>
          <w:szCs w:val="32"/>
        </w:rPr>
        <w:t>25</w:t>
      </w:r>
      <w:r w:rsidR="00941D35" w:rsidRPr="00BE6278">
        <w:rPr>
          <w:rFonts w:ascii="仿宋" w:eastAsia="仿宋" w:hAnsi="仿宋" w:hint="eastAsia"/>
          <w:sz w:val="32"/>
          <w:szCs w:val="32"/>
        </w:rPr>
        <w:t>日，华夏人寿与华夏</w:t>
      </w:r>
      <w:proofErr w:type="gramStart"/>
      <w:r w:rsidR="00941D35" w:rsidRPr="00BE6278">
        <w:rPr>
          <w:rFonts w:ascii="仿宋" w:eastAsia="仿宋" w:hAnsi="仿宋" w:hint="eastAsia"/>
          <w:sz w:val="32"/>
          <w:szCs w:val="32"/>
        </w:rPr>
        <w:t>久盈就</w:t>
      </w:r>
      <w:proofErr w:type="gramEnd"/>
      <w:r w:rsidR="008C63AD" w:rsidRPr="00BE6278">
        <w:rPr>
          <w:rFonts w:ascii="仿宋" w:eastAsia="仿宋" w:hAnsi="仿宋" w:hint="eastAsia"/>
          <w:sz w:val="32"/>
          <w:szCs w:val="32"/>
        </w:rPr>
        <w:t>华夏人寿认购华夏</w:t>
      </w:r>
      <w:proofErr w:type="gramStart"/>
      <w:r w:rsidR="008C63AD" w:rsidRPr="00BE6278">
        <w:rPr>
          <w:rFonts w:ascii="仿宋" w:eastAsia="仿宋" w:hAnsi="仿宋" w:hint="eastAsia"/>
          <w:sz w:val="32"/>
          <w:szCs w:val="32"/>
        </w:rPr>
        <w:t>久盈发行</w:t>
      </w:r>
      <w:proofErr w:type="gramEnd"/>
      <w:r w:rsidR="008C63AD" w:rsidRPr="00BE6278">
        <w:rPr>
          <w:rFonts w:ascii="仿宋" w:eastAsia="仿宋" w:hAnsi="仿宋" w:hint="eastAsia"/>
          <w:sz w:val="32"/>
          <w:szCs w:val="32"/>
        </w:rPr>
        <w:t>的产品，</w:t>
      </w:r>
      <w:r w:rsidR="00E503FA" w:rsidRPr="00BE6278">
        <w:rPr>
          <w:rFonts w:ascii="仿宋" w:eastAsia="仿宋" w:hAnsi="仿宋" w:hint="eastAsia"/>
          <w:sz w:val="32"/>
          <w:szCs w:val="32"/>
        </w:rPr>
        <w:t>签署了</w:t>
      </w:r>
      <w:r w:rsidR="00BB1C8D" w:rsidRPr="00BE6278">
        <w:rPr>
          <w:rFonts w:ascii="仿宋" w:eastAsia="仿宋" w:hAnsi="仿宋" w:hint="eastAsia"/>
          <w:sz w:val="32"/>
          <w:szCs w:val="32"/>
        </w:rPr>
        <w:t>《</w:t>
      </w:r>
      <w:r w:rsidR="008C63AD" w:rsidRPr="00BE6278">
        <w:rPr>
          <w:rFonts w:ascii="仿宋" w:eastAsia="仿宋" w:hAnsi="仿宋" w:hint="eastAsia"/>
          <w:sz w:val="32"/>
          <w:szCs w:val="32"/>
        </w:rPr>
        <w:t>关联交易统一交易协议</w:t>
      </w:r>
      <w:r w:rsidR="00BB1C8D" w:rsidRPr="00BE6278">
        <w:rPr>
          <w:rFonts w:ascii="仿宋" w:eastAsia="仿宋" w:hAnsi="仿宋" w:hint="eastAsia"/>
          <w:sz w:val="32"/>
          <w:szCs w:val="32"/>
        </w:rPr>
        <w:t>》</w:t>
      </w:r>
      <w:r w:rsidR="00E503FA" w:rsidRPr="00BE6278">
        <w:rPr>
          <w:rFonts w:ascii="仿宋" w:eastAsia="仿宋" w:hAnsi="仿宋" w:hint="eastAsia"/>
          <w:sz w:val="32"/>
          <w:szCs w:val="32"/>
        </w:rPr>
        <w:t>。</w:t>
      </w:r>
      <w:r w:rsidR="00731FA6" w:rsidRPr="00BE6278">
        <w:rPr>
          <w:rFonts w:ascii="仿宋" w:eastAsia="仿宋" w:hAnsi="仿宋" w:hint="eastAsia"/>
          <w:sz w:val="32"/>
          <w:szCs w:val="32"/>
        </w:rPr>
        <w:t>该协议对交易类型、单笔限额、交易价格</w:t>
      </w:r>
      <w:r w:rsidR="00AC270C" w:rsidRPr="00BE6278">
        <w:rPr>
          <w:rFonts w:ascii="仿宋" w:eastAsia="仿宋" w:hAnsi="仿宋" w:hint="eastAsia"/>
          <w:sz w:val="32"/>
          <w:szCs w:val="32"/>
        </w:rPr>
        <w:t>、有效期限等进行了约定。</w:t>
      </w:r>
    </w:p>
    <w:p w:rsidR="00E503FA" w:rsidRPr="00BE6278" w:rsidRDefault="00E503FA"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（二）交易标的</w:t>
      </w:r>
      <w:proofErr w:type="gramStart"/>
      <w:r w:rsidRPr="00BE6278">
        <w:rPr>
          <w:rFonts w:ascii="仿宋" w:eastAsia="仿宋" w:hAnsi="仿宋" w:hint="eastAsia"/>
          <w:sz w:val="32"/>
          <w:szCs w:val="32"/>
        </w:rPr>
        <w:t>的</w:t>
      </w:r>
      <w:proofErr w:type="gramEnd"/>
      <w:r w:rsidRPr="00BE6278">
        <w:rPr>
          <w:rFonts w:ascii="仿宋" w:eastAsia="仿宋" w:hAnsi="仿宋" w:hint="eastAsia"/>
          <w:sz w:val="32"/>
          <w:szCs w:val="32"/>
        </w:rPr>
        <w:t>基本情况</w:t>
      </w:r>
    </w:p>
    <w:p w:rsidR="00E503FA" w:rsidRPr="00BE6278" w:rsidRDefault="00AC270C"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交易标的为华夏</w:t>
      </w:r>
      <w:proofErr w:type="gramStart"/>
      <w:r w:rsidRPr="00BE6278">
        <w:rPr>
          <w:rFonts w:ascii="仿宋" w:eastAsia="仿宋" w:hAnsi="仿宋" w:hint="eastAsia"/>
          <w:sz w:val="32"/>
          <w:szCs w:val="32"/>
        </w:rPr>
        <w:t>久盈作为</w:t>
      </w:r>
      <w:proofErr w:type="gramEnd"/>
      <w:r w:rsidRPr="00BE6278">
        <w:rPr>
          <w:rFonts w:ascii="仿宋" w:eastAsia="仿宋" w:hAnsi="仿宋" w:hint="eastAsia"/>
          <w:sz w:val="32"/>
          <w:szCs w:val="32"/>
        </w:rPr>
        <w:t>管理人发行的各类产品。</w:t>
      </w:r>
    </w:p>
    <w:p w:rsidR="00BE6278" w:rsidRDefault="00BE6278" w:rsidP="005A226B">
      <w:pPr>
        <w:spacing w:line="360" w:lineRule="auto"/>
        <w:ind w:firstLine="658"/>
        <w:rPr>
          <w:rFonts w:ascii="仿宋" w:eastAsia="仿宋" w:hAnsi="仿宋" w:hint="eastAsia"/>
          <w:b/>
          <w:sz w:val="32"/>
          <w:szCs w:val="32"/>
        </w:rPr>
      </w:pPr>
    </w:p>
    <w:p w:rsidR="00E503FA" w:rsidRPr="00BE6278" w:rsidRDefault="00E503FA" w:rsidP="005A226B">
      <w:pPr>
        <w:spacing w:line="360" w:lineRule="auto"/>
        <w:ind w:firstLine="658"/>
        <w:rPr>
          <w:rFonts w:ascii="仿宋" w:eastAsia="仿宋" w:hAnsi="仿宋"/>
          <w:b/>
          <w:sz w:val="32"/>
          <w:szCs w:val="32"/>
        </w:rPr>
      </w:pPr>
      <w:r w:rsidRPr="00BE6278">
        <w:rPr>
          <w:rFonts w:ascii="仿宋" w:eastAsia="仿宋" w:hAnsi="仿宋" w:hint="eastAsia"/>
          <w:b/>
          <w:sz w:val="32"/>
          <w:szCs w:val="32"/>
        </w:rPr>
        <w:t>二、</w:t>
      </w:r>
      <w:r w:rsidR="00B3387E" w:rsidRPr="00BE6278">
        <w:rPr>
          <w:rFonts w:ascii="仿宋" w:eastAsia="仿宋" w:hAnsi="仿宋" w:hint="eastAsia"/>
          <w:b/>
          <w:sz w:val="32"/>
          <w:szCs w:val="32"/>
        </w:rPr>
        <w:t>交易</w:t>
      </w:r>
      <w:r w:rsidRPr="00BE6278">
        <w:rPr>
          <w:rFonts w:ascii="仿宋" w:eastAsia="仿宋" w:hAnsi="仿宋" w:hint="eastAsia"/>
          <w:b/>
          <w:sz w:val="32"/>
          <w:szCs w:val="32"/>
        </w:rPr>
        <w:t>方的关联关系和关联方基本情况</w:t>
      </w:r>
    </w:p>
    <w:p w:rsidR="00E503FA" w:rsidRPr="00BE6278" w:rsidRDefault="00B3387E"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（一）交易</w:t>
      </w:r>
      <w:r w:rsidR="00E503FA" w:rsidRPr="00BE6278">
        <w:rPr>
          <w:rFonts w:ascii="仿宋" w:eastAsia="仿宋" w:hAnsi="仿宋" w:hint="eastAsia"/>
          <w:sz w:val="32"/>
          <w:szCs w:val="32"/>
        </w:rPr>
        <w:t>方的关联关系</w:t>
      </w:r>
    </w:p>
    <w:p w:rsidR="00E503FA" w:rsidRPr="00BE6278" w:rsidRDefault="00E503FA" w:rsidP="005A226B">
      <w:pPr>
        <w:spacing w:line="360" w:lineRule="auto"/>
        <w:ind w:firstLine="658"/>
        <w:rPr>
          <w:rFonts w:ascii="仿宋" w:eastAsia="仿宋" w:hAnsi="仿宋"/>
          <w:sz w:val="32"/>
          <w:szCs w:val="32"/>
        </w:rPr>
      </w:pPr>
      <w:proofErr w:type="gramStart"/>
      <w:r w:rsidRPr="00BE6278">
        <w:rPr>
          <w:rFonts w:ascii="仿宋" w:eastAsia="仿宋" w:hAnsi="仿宋" w:hint="eastAsia"/>
          <w:sz w:val="32"/>
          <w:szCs w:val="32"/>
        </w:rPr>
        <w:t>华夏久盈为</w:t>
      </w:r>
      <w:proofErr w:type="gramEnd"/>
      <w:r w:rsidRPr="00BE6278">
        <w:rPr>
          <w:rFonts w:ascii="仿宋" w:eastAsia="仿宋" w:hAnsi="仿宋" w:hint="eastAsia"/>
          <w:sz w:val="32"/>
          <w:szCs w:val="32"/>
        </w:rPr>
        <w:t>华夏人寿的</w:t>
      </w:r>
      <w:r w:rsidR="00C327B8" w:rsidRPr="00BE6278">
        <w:rPr>
          <w:rFonts w:ascii="仿宋" w:eastAsia="仿宋" w:hAnsi="仿宋" w:hint="eastAsia"/>
          <w:sz w:val="32"/>
          <w:szCs w:val="32"/>
        </w:rPr>
        <w:t>子公司。</w:t>
      </w:r>
    </w:p>
    <w:p w:rsidR="00C327B8" w:rsidRPr="00BE6278" w:rsidRDefault="00C327B8"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lastRenderedPageBreak/>
        <w:t>（二）关联方的基本情况</w:t>
      </w:r>
    </w:p>
    <w:p w:rsidR="00B3387E" w:rsidRPr="00BE6278" w:rsidRDefault="00B3387E"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关联方名称：</w:t>
      </w:r>
      <w:r w:rsidR="0077340B" w:rsidRPr="00BE6278">
        <w:rPr>
          <w:rFonts w:ascii="仿宋" w:eastAsia="仿宋" w:hAnsi="仿宋" w:hint="eastAsia"/>
          <w:sz w:val="32"/>
          <w:szCs w:val="32"/>
        </w:rPr>
        <w:t>华夏人寿保险股份有限公司</w:t>
      </w:r>
      <w:r w:rsidRPr="00BE6278">
        <w:rPr>
          <w:rFonts w:ascii="仿宋" w:eastAsia="仿宋" w:hAnsi="仿宋" w:hint="eastAsia"/>
          <w:sz w:val="32"/>
          <w:szCs w:val="32"/>
        </w:rPr>
        <w:t>；</w:t>
      </w:r>
    </w:p>
    <w:p w:rsidR="00B3387E" w:rsidRPr="00BE6278" w:rsidRDefault="00B3387E"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注册资本：1530000万元</w:t>
      </w:r>
      <w:r w:rsidR="00AA2AEF" w:rsidRPr="00BE6278">
        <w:rPr>
          <w:rFonts w:ascii="仿宋" w:eastAsia="仿宋" w:hAnsi="仿宋" w:hint="eastAsia"/>
          <w:sz w:val="32"/>
          <w:szCs w:val="32"/>
        </w:rPr>
        <w:t>；</w:t>
      </w:r>
    </w:p>
    <w:p w:rsidR="00B3387E" w:rsidRPr="00BE6278" w:rsidRDefault="00B3387E"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经营范围：人寿保险、健康保险、意外伤害保险等各类人身保险业务；上述业务的再保险业务；国家法律、法规允许的保险资金运用业务；经中国保监会批准的其他业务。（依法须经批准的项目，经相关部门批准后方可开展经营活动）</w:t>
      </w:r>
      <w:r w:rsidR="00AA2AEF" w:rsidRPr="00BE6278">
        <w:rPr>
          <w:rFonts w:ascii="仿宋" w:eastAsia="仿宋" w:hAnsi="仿宋" w:hint="eastAsia"/>
          <w:sz w:val="32"/>
          <w:szCs w:val="32"/>
        </w:rPr>
        <w:t>；</w:t>
      </w:r>
    </w:p>
    <w:p w:rsidR="00B3387E" w:rsidRPr="00BE6278" w:rsidRDefault="00B3387E"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统一社会信用代码：91120118791698440W</w:t>
      </w:r>
      <w:r w:rsidR="00AA2AEF" w:rsidRPr="00BE6278">
        <w:rPr>
          <w:rFonts w:ascii="仿宋" w:eastAsia="仿宋" w:hAnsi="仿宋" w:hint="eastAsia"/>
          <w:sz w:val="32"/>
          <w:szCs w:val="32"/>
        </w:rPr>
        <w:t>。</w:t>
      </w:r>
    </w:p>
    <w:p w:rsidR="005A226B" w:rsidRPr="00BE6278" w:rsidRDefault="005A226B" w:rsidP="00BE6278">
      <w:pPr>
        <w:spacing w:line="360" w:lineRule="auto"/>
        <w:rPr>
          <w:rFonts w:ascii="仿宋" w:eastAsia="仿宋" w:hAnsi="仿宋"/>
          <w:b/>
          <w:sz w:val="32"/>
          <w:szCs w:val="32"/>
        </w:rPr>
      </w:pPr>
    </w:p>
    <w:p w:rsidR="0077340B" w:rsidRPr="00BE6278" w:rsidRDefault="0077340B" w:rsidP="005A226B">
      <w:pPr>
        <w:spacing w:line="360" w:lineRule="auto"/>
        <w:ind w:firstLine="658"/>
        <w:rPr>
          <w:rFonts w:ascii="仿宋" w:eastAsia="仿宋" w:hAnsi="仿宋"/>
          <w:b/>
          <w:sz w:val="32"/>
          <w:szCs w:val="32"/>
        </w:rPr>
      </w:pPr>
      <w:r w:rsidRPr="00BE6278">
        <w:rPr>
          <w:rFonts w:ascii="仿宋" w:eastAsia="仿宋" w:hAnsi="仿宋" w:hint="eastAsia"/>
          <w:b/>
          <w:sz w:val="32"/>
          <w:szCs w:val="32"/>
        </w:rPr>
        <w:t>三、交易的定价政策及定价依据</w:t>
      </w:r>
    </w:p>
    <w:p w:rsidR="003F3083" w:rsidRPr="00BE6278" w:rsidRDefault="003F3083"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（一）定价政策</w:t>
      </w:r>
    </w:p>
    <w:p w:rsidR="005A226B" w:rsidRPr="00BE6278" w:rsidRDefault="005A226B"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在遵守诚实信用、平等自愿、公平公正的大原则和不损害公司合法权益前提下，结合市场规则、行业惯例和交易双方协议一致的前提下进行定价。</w:t>
      </w:r>
    </w:p>
    <w:p w:rsidR="003F3083" w:rsidRPr="00BE6278" w:rsidRDefault="003F3083"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（二）定价依据</w:t>
      </w:r>
    </w:p>
    <w:p w:rsidR="003F3083" w:rsidRPr="00BE6278" w:rsidRDefault="00AC270C"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按照公平公正的市场定价机制，不得明显偏离市场价格。</w:t>
      </w:r>
    </w:p>
    <w:p w:rsidR="00BE6278" w:rsidRDefault="00BE6278" w:rsidP="005A226B">
      <w:pPr>
        <w:spacing w:line="360" w:lineRule="auto"/>
        <w:ind w:firstLine="658"/>
        <w:rPr>
          <w:rFonts w:ascii="仿宋" w:eastAsia="仿宋" w:hAnsi="仿宋" w:hint="eastAsia"/>
          <w:b/>
          <w:sz w:val="32"/>
          <w:szCs w:val="32"/>
        </w:rPr>
      </w:pPr>
    </w:p>
    <w:p w:rsidR="00237E7E" w:rsidRPr="00BE6278" w:rsidRDefault="00237E7E" w:rsidP="005A226B">
      <w:pPr>
        <w:spacing w:line="360" w:lineRule="auto"/>
        <w:ind w:firstLine="658"/>
        <w:rPr>
          <w:rFonts w:ascii="仿宋" w:eastAsia="仿宋" w:hAnsi="仿宋"/>
          <w:b/>
          <w:sz w:val="32"/>
          <w:szCs w:val="32"/>
        </w:rPr>
      </w:pPr>
      <w:r w:rsidRPr="00BE6278">
        <w:rPr>
          <w:rFonts w:ascii="仿宋" w:eastAsia="仿宋" w:hAnsi="仿宋" w:hint="eastAsia"/>
          <w:b/>
          <w:sz w:val="32"/>
          <w:szCs w:val="32"/>
        </w:rPr>
        <w:t>四、交易协议主要内容</w:t>
      </w:r>
    </w:p>
    <w:p w:rsidR="00237E7E" w:rsidRPr="00BE6278" w:rsidRDefault="00237E7E"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（一）交易价格</w:t>
      </w:r>
    </w:p>
    <w:p w:rsidR="00AC270C" w:rsidRPr="00BE6278" w:rsidRDefault="00AC270C" w:rsidP="00AC270C">
      <w:pPr>
        <w:spacing w:line="360" w:lineRule="auto"/>
        <w:ind w:firstLine="658"/>
        <w:rPr>
          <w:rFonts w:ascii="仿宋" w:eastAsia="仿宋" w:hAnsi="仿宋"/>
          <w:sz w:val="32"/>
          <w:szCs w:val="32"/>
        </w:rPr>
      </w:pPr>
      <w:r w:rsidRPr="00BE6278">
        <w:rPr>
          <w:rFonts w:ascii="仿宋" w:eastAsia="仿宋" w:hAnsi="仿宋" w:hint="eastAsia"/>
          <w:sz w:val="32"/>
          <w:szCs w:val="32"/>
        </w:rPr>
        <w:t>按照公平公正的市场定价机制，不得明显偏离市场价格。</w:t>
      </w:r>
    </w:p>
    <w:p w:rsidR="00237E7E" w:rsidRPr="00BE6278" w:rsidRDefault="00237E7E"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（二）</w:t>
      </w:r>
      <w:r w:rsidR="00AC270C" w:rsidRPr="00BE6278">
        <w:rPr>
          <w:rFonts w:ascii="仿宋" w:eastAsia="仿宋" w:hAnsi="仿宋" w:hint="eastAsia"/>
          <w:sz w:val="32"/>
          <w:szCs w:val="32"/>
        </w:rPr>
        <w:t>交易类型</w:t>
      </w:r>
    </w:p>
    <w:p w:rsidR="00AC270C" w:rsidRPr="00BE6278" w:rsidRDefault="00AC270C"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华夏人寿认购华夏</w:t>
      </w:r>
      <w:proofErr w:type="gramStart"/>
      <w:r w:rsidRPr="00BE6278">
        <w:rPr>
          <w:rFonts w:ascii="仿宋" w:eastAsia="仿宋" w:hAnsi="仿宋" w:hint="eastAsia"/>
          <w:sz w:val="32"/>
          <w:szCs w:val="32"/>
        </w:rPr>
        <w:t>久盈发行</w:t>
      </w:r>
      <w:proofErr w:type="gramEnd"/>
      <w:r w:rsidRPr="00BE6278">
        <w:rPr>
          <w:rFonts w:ascii="仿宋" w:eastAsia="仿宋" w:hAnsi="仿宋" w:hint="eastAsia"/>
          <w:sz w:val="32"/>
          <w:szCs w:val="32"/>
        </w:rPr>
        <w:t>的产品。</w:t>
      </w:r>
    </w:p>
    <w:p w:rsidR="00AC270C" w:rsidRPr="00BE6278" w:rsidRDefault="00237E7E"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lastRenderedPageBreak/>
        <w:t>（三）</w:t>
      </w:r>
      <w:r w:rsidR="00AC270C" w:rsidRPr="00BE6278">
        <w:rPr>
          <w:rFonts w:ascii="仿宋" w:eastAsia="仿宋" w:hAnsi="仿宋" w:hint="eastAsia"/>
          <w:sz w:val="32"/>
          <w:szCs w:val="32"/>
        </w:rPr>
        <w:t>单笔限额</w:t>
      </w:r>
    </w:p>
    <w:p w:rsidR="00AC270C" w:rsidRPr="00BE6278" w:rsidRDefault="00AC270C" w:rsidP="00BE6278">
      <w:pPr>
        <w:spacing w:line="360" w:lineRule="auto"/>
        <w:ind w:firstLine="658"/>
        <w:rPr>
          <w:rFonts w:ascii="仿宋" w:eastAsia="仿宋" w:hAnsi="仿宋"/>
          <w:sz w:val="32"/>
          <w:szCs w:val="32"/>
        </w:rPr>
      </w:pPr>
      <w:r w:rsidRPr="00BE6278">
        <w:rPr>
          <w:rFonts w:ascii="仿宋" w:eastAsia="仿宋" w:hAnsi="仿宋" w:hint="eastAsia"/>
          <w:sz w:val="32"/>
          <w:szCs w:val="32"/>
        </w:rPr>
        <w:t>单笔交易不得超出华夏人寿上季度末总资产的1%。</w:t>
      </w:r>
    </w:p>
    <w:p w:rsidR="00237E7E" w:rsidRPr="00BE6278" w:rsidRDefault="00D76649"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（四）</w:t>
      </w:r>
      <w:r w:rsidR="00237E7E" w:rsidRPr="00BE6278">
        <w:rPr>
          <w:rFonts w:ascii="仿宋" w:eastAsia="仿宋" w:hAnsi="仿宋" w:hint="eastAsia"/>
          <w:sz w:val="32"/>
          <w:szCs w:val="32"/>
        </w:rPr>
        <w:t>协议生效条件、生效时间、履行期限</w:t>
      </w:r>
    </w:p>
    <w:p w:rsidR="002526B3" w:rsidRPr="00BE6278" w:rsidRDefault="002D7524"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协议</w:t>
      </w:r>
      <w:r w:rsidR="00237E7E" w:rsidRPr="00BE6278">
        <w:rPr>
          <w:rFonts w:ascii="仿宋" w:eastAsia="仿宋" w:hAnsi="仿宋" w:hint="eastAsia"/>
          <w:sz w:val="32"/>
          <w:szCs w:val="32"/>
        </w:rPr>
        <w:t>经双方</w:t>
      </w:r>
      <w:r w:rsidR="00132844" w:rsidRPr="00BE6278">
        <w:rPr>
          <w:rFonts w:ascii="仿宋" w:eastAsia="仿宋" w:hAnsi="仿宋" w:hint="eastAsia"/>
          <w:sz w:val="32"/>
          <w:szCs w:val="32"/>
        </w:rPr>
        <w:t>法定代表人</w:t>
      </w:r>
      <w:r w:rsidR="009D7527">
        <w:rPr>
          <w:rFonts w:ascii="仿宋" w:eastAsia="仿宋" w:hAnsi="仿宋" w:hint="eastAsia"/>
          <w:sz w:val="32"/>
          <w:szCs w:val="32"/>
        </w:rPr>
        <w:t>签章并加盖双方公章后生效，有效</w:t>
      </w:r>
      <w:r w:rsidR="0062040A" w:rsidRPr="00BE6278">
        <w:rPr>
          <w:rFonts w:ascii="仿宋" w:eastAsia="仿宋" w:hAnsi="仿宋" w:hint="eastAsia"/>
          <w:sz w:val="32"/>
          <w:szCs w:val="32"/>
        </w:rPr>
        <w:t>期限为半</w:t>
      </w:r>
      <w:r w:rsidR="00524002" w:rsidRPr="00BE6278">
        <w:rPr>
          <w:rFonts w:ascii="仿宋" w:eastAsia="仿宋" w:hAnsi="仿宋" w:hint="eastAsia"/>
          <w:sz w:val="32"/>
          <w:szCs w:val="32"/>
        </w:rPr>
        <w:t>年。</w:t>
      </w:r>
    </w:p>
    <w:p w:rsidR="005A226B" w:rsidRPr="00BE6278" w:rsidRDefault="005A226B" w:rsidP="005A226B">
      <w:pPr>
        <w:spacing w:line="360" w:lineRule="auto"/>
        <w:ind w:firstLine="658"/>
        <w:rPr>
          <w:rFonts w:ascii="仿宋" w:eastAsia="仿宋" w:hAnsi="仿宋"/>
          <w:b/>
          <w:color w:val="FF0000"/>
          <w:sz w:val="32"/>
          <w:szCs w:val="32"/>
        </w:rPr>
      </w:pPr>
    </w:p>
    <w:p w:rsidR="00580F7D" w:rsidRPr="00BE6278" w:rsidRDefault="00580F7D" w:rsidP="005A226B">
      <w:pPr>
        <w:spacing w:line="360" w:lineRule="auto"/>
        <w:ind w:firstLine="658"/>
        <w:rPr>
          <w:rFonts w:ascii="仿宋" w:eastAsia="仿宋" w:hAnsi="仿宋"/>
          <w:b/>
          <w:sz w:val="32"/>
          <w:szCs w:val="32"/>
        </w:rPr>
      </w:pPr>
      <w:r w:rsidRPr="00BE6278">
        <w:rPr>
          <w:rFonts w:ascii="仿宋" w:eastAsia="仿宋" w:hAnsi="仿宋" w:hint="eastAsia"/>
          <w:b/>
          <w:sz w:val="32"/>
          <w:szCs w:val="32"/>
        </w:rPr>
        <w:t>五、交易决策及审议情况</w:t>
      </w:r>
    </w:p>
    <w:p w:rsidR="00580F7D" w:rsidRPr="00BE6278" w:rsidRDefault="00580F7D" w:rsidP="005A226B">
      <w:pPr>
        <w:spacing w:line="360" w:lineRule="auto"/>
        <w:ind w:firstLine="658"/>
        <w:rPr>
          <w:rFonts w:ascii="仿宋" w:eastAsia="仿宋" w:hAnsi="仿宋"/>
          <w:sz w:val="32"/>
          <w:szCs w:val="32"/>
        </w:rPr>
      </w:pPr>
      <w:r w:rsidRPr="00BE6278">
        <w:rPr>
          <w:rFonts w:ascii="仿宋" w:eastAsia="仿宋" w:hAnsi="仿宋" w:hint="eastAsia"/>
          <w:sz w:val="32"/>
          <w:szCs w:val="32"/>
        </w:rPr>
        <w:t>根据监管关联交易审议的相关规定，此关联交易</w:t>
      </w:r>
      <w:r w:rsidR="00BE6278" w:rsidRPr="00BE6278">
        <w:rPr>
          <w:rFonts w:ascii="仿宋" w:eastAsia="仿宋" w:hAnsi="仿宋" w:hint="eastAsia"/>
          <w:sz w:val="32"/>
          <w:szCs w:val="32"/>
        </w:rPr>
        <w:t>于2017年5月8日经第一届董事会第二十一次会议，以现场审议表决形式全票</w:t>
      </w:r>
      <w:r w:rsidRPr="00BE6278">
        <w:rPr>
          <w:rFonts w:ascii="仿宋" w:eastAsia="仿宋" w:hAnsi="仿宋" w:hint="eastAsia"/>
          <w:sz w:val="32"/>
          <w:szCs w:val="32"/>
        </w:rPr>
        <w:t>通过</w:t>
      </w:r>
      <w:r w:rsidR="00941D35" w:rsidRPr="00BE6278">
        <w:rPr>
          <w:rFonts w:ascii="仿宋" w:eastAsia="仿宋" w:hAnsi="仿宋" w:hint="eastAsia"/>
          <w:sz w:val="32"/>
          <w:szCs w:val="32"/>
        </w:rPr>
        <w:t>，</w:t>
      </w:r>
      <w:r w:rsidR="006835AB" w:rsidRPr="00BE6278">
        <w:rPr>
          <w:rFonts w:ascii="仿宋" w:eastAsia="仿宋" w:hAnsi="仿宋" w:hint="eastAsia"/>
          <w:sz w:val="32"/>
          <w:szCs w:val="32"/>
        </w:rPr>
        <w:t>独立董事出具了相应的书面意见</w:t>
      </w:r>
      <w:r w:rsidR="004E6664" w:rsidRPr="00BE6278">
        <w:rPr>
          <w:rFonts w:ascii="仿宋" w:eastAsia="仿宋" w:hAnsi="仿宋" w:hint="eastAsia"/>
          <w:sz w:val="32"/>
          <w:szCs w:val="32"/>
        </w:rPr>
        <w:t>，同意本次交易。</w:t>
      </w:r>
    </w:p>
    <w:p w:rsidR="005A226B" w:rsidRPr="00BE6278" w:rsidRDefault="005A226B" w:rsidP="005A226B">
      <w:pPr>
        <w:spacing w:line="360" w:lineRule="auto"/>
        <w:ind w:firstLine="658"/>
        <w:rPr>
          <w:rFonts w:ascii="仿宋" w:eastAsia="仿宋" w:hAnsi="仿宋"/>
          <w:b/>
          <w:color w:val="FF0000"/>
          <w:sz w:val="32"/>
          <w:szCs w:val="32"/>
        </w:rPr>
      </w:pPr>
    </w:p>
    <w:p w:rsidR="006835AB" w:rsidRPr="00BE6278" w:rsidRDefault="006835AB" w:rsidP="005A226B">
      <w:pPr>
        <w:spacing w:line="360" w:lineRule="auto"/>
        <w:ind w:firstLine="658"/>
        <w:rPr>
          <w:rFonts w:ascii="仿宋" w:eastAsia="仿宋" w:hAnsi="仿宋"/>
          <w:b/>
          <w:sz w:val="32"/>
          <w:szCs w:val="32"/>
        </w:rPr>
      </w:pPr>
      <w:r w:rsidRPr="00BE6278">
        <w:rPr>
          <w:rFonts w:ascii="仿宋" w:eastAsia="仿宋" w:hAnsi="仿宋" w:hint="eastAsia"/>
          <w:b/>
          <w:sz w:val="32"/>
          <w:szCs w:val="32"/>
        </w:rPr>
        <w:t>六、</w:t>
      </w:r>
      <w:r w:rsidR="00941D35" w:rsidRPr="00BE6278">
        <w:rPr>
          <w:rFonts w:ascii="仿宋" w:eastAsia="仿宋" w:hAnsi="仿宋" w:hint="eastAsia"/>
          <w:b/>
          <w:sz w:val="32"/>
          <w:szCs w:val="32"/>
        </w:rPr>
        <w:t>其他需要披露的信息</w:t>
      </w:r>
    </w:p>
    <w:p w:rsidR="007B77E7" w:rsidRPr="00BE6278" w:rsidRDefault="00946503" w:rsidP="00BE6278">
      <w:pPr>
        <w:spacing w:line="360" w:lineRule="auto"/>
        <w:ind w:firstLine="658"/>
        <w:rPr>
          <w:rFonts w:ascii="仿宋" w:eastAsia="仿宋" w:hAnsi="仿宋"/>
          <w:sz w:val="32"/>
          <w:szCs w:val="32"/>
        </w:rPr>
      </w:pPr>
      <w:r w:rsidRPr="00BE6278">
        <w:rPr>
          <w:rFonts w:ascii="仿宋" w:eastAsia="仿宋" w:hAnsi="仿宋" w:hint="eastAsia"/>
          <w:sz w:val="32"/>
          <w:szCs w:val="32"/>
        </w:rPr>
        <w:t>无</w:t>
      </w:r>
    </w:p>
    <w:p w:rsidR="005A226B" w:rsidRPr="00BE6278" w:rsidRDefault="00941D35" w:rsidP="00BE6278">
      <w:pPr>
        <w:spacing w:line="360" w:lineRule="auto"/>
        <w:ind w:firstLine="658"/>
        <w:rPr>
          <w:rFonts w:ascii="仿宋" w:eastAsia="仿宋" w:hAnsi="仿宋"/>
          <w:sz w:val="32"/>
          <w:szCs w:val="32"/>
        </w:rPr>
      </w:pPr>
      <w:r w:rsidRPr="00BE6278">
        <w:rPr>
          <w:rFonts w:ascii="仿宋" w:eastAsia="仿宋" w:hAnsi="仿宋" w:hint="eastAsia"/>
          <w:sz w:val="32"/>
          <w:szCs w:val="32"/>
        </w:rPr>
        <w:t>我公司承诺：已充分知晓开展此项交易的责任和风险，并对本公告所披露信息真实性、准确性、完整性和合</w:t>
      </w:r>
      <w:proofErr w:type="gramStart"/>
      <w:r w:rsidRPr="00BE6278">
        <w:rPr>
          <w:rFonts w:ascii="仿宋" w:eastAsia="仿宋" w:hAnsi="仿宋" w:hint="eastAsia"/>
          <w:sz w:val="32"/>
          <w:szCs w:val="32"/>
        </w:rPr>
        <w:t>规</w:t>
      </w:r>
      <w:proofErr w:type="gramEnd"/>
      <w:r w:rsidRPr="00BE6278">
        <w:rPr>
          <w:rFonts w:ascii="仿宋" w:eastAsia="仿宋" w:hAnsi="仿宋" w:hint="eastAsia"/>
          <w:sz w:val="32"/>
          <w:szCs w:val="32"/>
        </w:rPr>
        <w:t>性负责，愿意接受有关方面的监督。</w:t>
      </w:r>
      <w:r w:rsidR="00946503" w:rsidRPr="00BE6278">
        <w:rPr>
          <w:rFonts w:ascii="仿宋" w:eastAsia="仿宋" w:hAnsi="仿宋" w:hint="eastAsia"/>
          <w:sz w:val="32"/>
          <w:szCs w:val="32"/>
        </w:rPr>
        <w:t>对本报告所披露信息如有异议，可以于公告发布之日起10个工作日内，向中国保监</w:t>
      </w:r>
      <w:proofErr w:type="gramStart"/>
      <w:r w:rsidR="00946503" w:rsidRPr="00BE6278">
        <w:rPr>
          <w:rFonts w:ascii="仿宋" w:eastAsia="仿宋" w:hAnsi="仿宋" w:hint="eastAsia"/>
          <w:sz w:val="32"/>
          <w:szCs w:val="32"/>
        </w:rPr>
        <w:t>会保险</w:t>
      </w:r>
      <w:proofErr w:type="gramEnd"/>
      <w:r w:rsidR="00946503" w:rsidRPr="00BE6278">
        <w:rPr>
          <w:rFonts w:ascii="仿宋" w:eastAsia="仿宋" w:hAnsi="仿宋" w:hint="eastAsia"/>
          <w:sz w:val="32"/>
          <w:szCs w:val="32"/>
        </w:rPr>
        <w:t>资金运用</w:t>
      </w:r>
      <w:proofErr w:type="gramStart"/>
      <w:r w:rsidR="00946503" w:rsidRPr="00BE6278">
        <w:rPr>
          <w:rFonts w:ascii="仿宋" w:eastAsia="仿宋" w:hAnsi="仿宋" w:hint="eastAsia"/>
          <w:sz w:val="32"/>
          <w:szCs w:val="32"/>
        </w:rPr>
        <w:t>监管部</w:t>
      </w:r>
      <w:proofErr w:type="gramEnd"/>
      <w:r w:rsidR="00946503" w:rsidRPr="00BE6278">
        <w:rPr>
          <w:rFonts w:ascii="仿宋" w:eastAsia="仿宋" w:hAnsi="仿宋" w:hint="eastAsia"/>
          <w:sz w:val="32"/>
          <w:szCs w:val="32"/>
        </w:rPr>
        <w:t>反映。</w:t>
      </w:r>
    </w:p>
    <w:p w:rsidR="00BE6278" w:rsidRDefault="00941D35" w:rsidP="005A226B">
      <w:pPr>
        <w:spacing w:line="360" w:lineRule="auto"/>
        <w:ind w:firstLineChars="955" w:firstLine="3056"/>
        <w:rPr>
          <w:rFonts w:ascii="仿宋" w:eastAsia="仿宋" w:hAnsi="仿宋" w:hint="eastAsia"/>
          <w:sz w:val="32"/>
          <w:szCs w:val="32"/>
        </w:rPr>
      </w:pPr>
      <w:r w:rsidRPr="00BE6278">
        <w:rPr>
          <w:rFonts w:ascii="仿宋" w:eastAsia="仿宋" w:hAnsi="仿宋" w:hint="eastAsia"/>
          <w:sz w:val="32"/>
          <w:szCs w:val="32"/>
        </w:rPr>
        <w:t xml:space="preserve"> </w:t>
      </w:r>
    </w:p>
    <w:p w:rsidR="00941D35" w:rsidRPr="00BE6278" w:rsidRDefault="00941D35" w:rsidP="005A226B">
      <w:pPr>
        <w:spacing w:line="360" w:lineRule="auto"/>
        <w:ind w:firstLineChars="955" w:firstLine="3056"/>
        <w:rPr>
          <w:rFonts w:ascii="仿宋" w:eastAsia="仿宋" w:hAnsi="仿宋"/>
          <w:sz w:val="32"/>
          <w:szCs w:val="32"/>
        </w:rPr>
      </w:pPr>
      <w:r w:rsidRPr="00BE6278">
        <w:rPr>
          <w:rFonts w:ascii="仿宋" w:eastAsia="仿宋" w:hAnsi="仿宋" w:hint="eastAsia"/>
          <w:sz w:val="32"/>
          <w:szCs w:val="32"/>
        </w:rPr>
        <w:t xml:space="preserve">  华夏</w:t>
      </w:r>
      <w:proofErr w:type="gramStart"/>
      <w:r w:rsidRPr="00BE6278">
        <w:rPr>
          <w:rFonts w:ascii="仿宋" w:eastAsia="仿宋" w:hAnsi="仿宋" w:hint="eastAsia"/>
          <w:sz w:val="32"/>
          <w:szCs w:val="32"/>
        </w:rPr>
        <w:t>久盈资产</w:t>
      </w:r>
      <w:proofErr w:type="gramEnd"/>
      <w:r w:rsidRPr="00BE6278">
        <w:rPr>
          <w:rFonts w:ascii="仿宋" w:eastAsia="仿宋" w:hAnsi="仿宋" w:hint="eastAsia"/>
          <w:sz w:val="32"/>
          <w:szCs w:val="32"/>
        </w:rPr>
        <w:t>管理有限责任公司</w:t>
      </w:r>
    </w:p>
    <w:p w:rsidR="00941D35" w:rsidRPr="00946503" w:rsidRDefault="00941D35" w:rsidP="005A226B">
      <w:pPr>
        <w:spacing w:line="360" w:lineRule="auto"/>
        <w:ind w:firstLine="658"/>
        <w:rPr>
          <w:sz w:val="32"/>
          <w:szCs w:val="32"/>
        </w:rPr>
      </w:pPr>
      <w:r w:rsidRPr="00946503">
        <w:rPr>
          <w:rFonts w:hint="eastAsia"/>
          <w:sz w:val="32"/>
          <w:szCs w:val="32"/>
        </w:rPr>
        <w:t xml:space="preserve">                </w:t>
      </w:r>
      <w:bookmarkStart w:id="0" w:name="_GoBack"/>
      <w:bookmarkEnd w:id="0"/>
      <w:r w:rsidRPr="00946503">
        <w:rPr>
          <w:rFonts w:hint="eastAsia"/>
          <w:sz w:val="32"/>
          <w:szCs w:val="32"/>
        </w:rPr>
        <w:t xml:space="preserve">         201</w:t>
      </w:r>
      <w:r w:rsidR="00B8769B" w:rsidRPr="00946503">
        <w:rPr>
          <w:rFonts w:hint="eastAsia"/>
          <w:sz w:val="32"/>
          <w:szCs w:val="32"/>
        </w:rPr>
        <w:t>7</w:t>
      </w:r>
      <w:r w:rsidRPr="00946503">
        <w:rPr>
          <w:rFonts w:hint="eastAsia"/>
          <w:sz w:val="32"/>
          <w:szCs w:val="32"/>
        </w:rPr>
        <w:t>年</w:t>
      </w:r>
      <w:r w:rsidR="009D7527">
        <w:rPr>
          <w:rFonts w:hint="eastAsia"/>
          <w:sz w:val="32"/>
          <w:szCs w:val="32"/>
        </w:rPr>
        <w:t>6</w:t>
      </w:r>
      <w:r w:rsidRPr="00946503">
        <w:rPr>
          <w:rFonts w:hint="eastAsia"/>
          <w:sz w:val="32"/>
          <w:szCs w:val="32"/>
        </w:rPr>
        <w:t>月</w:t>
      </w:r>
      <w:r w:rsidR="00D977FA">
        <w:rPr>
          <w:rFonts w:hint="eastAsia"/>
          <w:sz w:val="32"/>
          <w:szCs w:val="32"/>
        </w:rPr>
        <w:t>7</w:t>
      </w:r>
      <w:r w:rsidRPr="00946503">
        <w:rPr>
          <w:rFonts w:hint="eastAsia"/>
          <w:sz w:val="32"/>
          <w:szCs w:val="32"/>
        </w:rPr>
        <w:t>日</w:t>
      </w:r>
    </w:p>
    <w:sectPr w:rsidR="00941D35" w:rsidRPr="009465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332" w:rsidRDefault="004C1332" w:rsidP="0068100A">
      <w:r>
        <w:separator/>
      </w:r>
    </w:p>
  </w:endnote>
  <w:endnote w:type="continuationSeparator" w:id="0">
    <w:p w:rsidR="004C1332" w:rsidRDefault="004C1332" w:rsidP="0068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332" w:rsidRDefault="004C1332" w:rsidP="0068100A">
      <w:r>
        <w:separator/>
      </w:r>
    </w:p>
  </w:footnote>
  <w:footnote w:type="continuationSeparator" w:id="0">
    <w:p w:rsidR="004C1332" w:rsidRDefault="004C1332" w:rsidP="00681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F4F3F"/>
    <w:multiLevelType w:val="hybridMultilevel"/>
    <w:tmpl w:val="89341F30"/>
    <w:lvl w:ilvl="0" w:tplc="E4F4E652">
      <w:start w:val="1"/>
      <w:numFmt w:val="decimal"/>
      <w:lvlText w:val="（%1）"/>
      <w:lvlJc w:val="left"/>
      <w:pPr>
        <w:ind w:left="1500" w:hanging="720"/>
      </w:pPr>
      <w:rPr>
        <w:rFonts w:hint="eastAsia"/>
        <w:lang w:val="en-US"/>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C00"/>
    <w:rsid w:val="00005FDE"/>
    <w:rsid w:val="0000725B"/>
    <w:rsid w:val="0006650D"/>
    <w:rsid w:val="000C07CA"/>
    <w:rsid w:val="000E42A9"/>
    <w:rsid w:val="000F7A13"/>
    <w:rsid w:val="00132844"/>
    <w:rsid w:val="001C68E2"/>
    <w:rsid w:val="001E0756"/>
    <w:rsid w:val="00237E7E"/>
    <w:rsid w:val="002526B3"/>
    <w:rsid w:val="002A7A4F"/>
    <w:rsid w:val="002D7524"/>
    <w:rsid w:val="003007FD"/>
    <w:rsid w:val="0037232E"/>
    <w:rsid w:val="003D5341"/>
    <w:rsid w:val="003E4D86"/>
    <w:rsid w:val="003F3083"/>
    <w:rsid w:val="004963EC"/>
    <w:rsid w:val="004C1332"/>
    <w:rsid w:val="004C7210"/>
    <w:rsid w:val="004E6664"/>
    <w:rsid w:val="00524002"/>
    <w:rsid w:val="00533DF0"/>
    <w:rsid w:val="00580F7D"/>
    <w:rsid w:val="00591C33"/>
    <w:rsid w:val="005A226B"/>
    <w:rsid w:val="005C0064"/>
    <w:rsid w:val="0062040A"/>
    <w:rsid w:val="0068100A"/>
    <w:rsid w:val="006835AB"/>
    <w:rsid w:val="00731FA6"/>
    <w:rsid w:val="00737335"/>
    <w:rsid w:val="0077340B"/>
    <w:rsid w:val="007A73BC"/>
    <w:rsid w:val="007B77E7"/>
    <w:rsid w:val="007C42E0"/>
    <w:rsid w:val="007D29F2"/>
    <w:rsid w:val="0089004D"/>
    <w:rsid w:val="00897F6B"/>
    <w:rsid w:val="008A2A9C"/>
    <w:rsid w:val="008A7A20"/>
    <w:rsid w:val="008C63AD"/>
    <w:rsid w:val="00941D35"/>
    <w:rsid w:val="00946503"/>
    <w:rsid w:val="00993FD2"/>
    <w:rsid w:val="009D7527"/>
    <w:rsid w:val="009E30DA"/>
    <w:rsid w:val="00A10231"/>
    <w:rsid w:val="00A17B5D"/>
    <w:rsid w:val="00A82C00"/>
    <w:rsid w:val="00AA2AEF"/>
    <w:rsid w:val="00AC270C"/>
    <w:rsid w:val="00B3387E"/>
    <w:rsid w:val="00B61668"/>
    <w:rsid w:val="00B8769B"/>
    <w:rsid w:val="00BB1C8D"/>
    <w:rsid w:val="00BB6F00"/>
    <w:rsid w:val="00BE6278"/>
    <w:rsid w:val="00C327B8"/>
    <w:rsid w:val="00D034C0"/>
    <w:rsid w:val="00D42460"/>
    <w:rsid w:val="00D74C36"/>
    <w:rsid w:val="00D76649"/>
    <w:rsid w:val="00D977FA"/>
    <w:rsid w:val="00DE10F5"/>
    <w:rsid w:val="00E503FA"/>
    <w:rsid w:val="00E82B6A"/>
    <w:rsid w:val="00F13C11"/>
    <w:rsid w:val="00F36C60"/>
    <w:rsid w:val="00F8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100A"/>
    <w:rPr>
      <w:sz w:val="18"/>
      <w:szCs w:val="18"/>
    </w:rPr>
  </w:style>
  <w:style w:type="paragraph" w:styleId="a4">
    <w:name w:val="footer"/>
    <w:basedOn w:val="a"/>
    <w:link w:val="Char0"/>
    <w:uiPriority w:val="99"/>
    <w:unhideWhenUsed/>
    <w:rsid w:val="0068100A"/>
    <w:pPr>
      <w:tabs>
        <w:tab w:val="center" w:pos="4153"/>
        <w:tab w:val="right" w:pos="8306"/>
      </w:tabs>
      <w:snapToGrid w:val="0"/>
      <w:jc w:val="left"/>
    </w:pPr>
    <w:rPr>
      <w:sz w:val="18"/>
      <w:szCs w:val="18"/>
    </w:rPr>
  </w:style>
  <w:style w:type="character" w:customStyle="1" w:styleId="Char0">
    <w:name w:val="页脚 Char"/>
    <w:basedOn w:val="a0"/>
    <w:link w:val="a4"/>
    <w:uiPriority w:val="99"/>
    <w:rsid w:val="0068100A"/>
    <w:rPr>
      <w:sz w:val="18"/>
      <w:szCs w:val="18"/>
    </w:rPr>
  </w:style>
  <w:style w:type="paragraph" w:styleId="a5">
    <w:name w:val="Balloon Text"/>
    <w:basedOn w:val="a"/>
    <w:link w:val="Char1"/>
    <w:uiPriority w:val="99"/>
    <w:semiHidden/>
    <w:unhideWhenUsed/>
    <w:rsid w:val="005C0064"/>
    <w:rPr>
      <w:sz w:val="18"/>
      <w:szCs w:val="18"/>
    </w:rPr>
  </w:style>
  <w:style w:type="character" w:customStyle="1" w:styleId="Char1">
    <w:name w:val="批注框文本 Char"/>
    <w:basedOn w:val="a0"/>
    <w:link w:val="a5"/>
    <w:uiPriority w:val="99"/>
    <w:semiHidden/>
    <w:rsid w:val="005C0064"/>
    <w:rPr>
      <w:sz w:val="18"/>
      <w:szCs w:val="18"/>
    </w:rPr>
  </w:style>
  <w:style w:type="paragraph" w:styleId="a6">
    <w:name w:val="List Paragraph"/>
    <w:basedOn w:val="a"/>
    <w:uiPriority w:val="34"/>
    <w:qFormat/>
    <w:rsid w:val="00B338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100A"/>
    <w:rPr>
      <w:sz w:val="18"/>
      <w:szCs w:val="18"/>
    </w:rPr>
  </w:style>
  <w:style w:type="paragraph" w:styleId="a4">
    <w:name w:val="footer"/>
    <w:basedOn w:val="a"/>
    <w:link w:val="Char0"/>
    <w:uiPriority w:val="99"/>
    <w:unhideWhenUsed/>
    <w:rsid w:val="0068100A"/>
    <w:pPr>
      <w:tabs>
        <w:tab w:val="center" w:pos="4153"/>
        <w:tab w:val="right" w:pos="8306"/>
      </w:tabs>
      <w:snapToGrid w:val="0"/>
      <w:jc w:val="left"/>
    </w:pPr>
    <w:rPr>
      <w:sz w:val="18"/>
      <w:szCs w:val="18"/>
    </w:rPr>
  </w:style>
  <w:style w:type="character" w:customStyle="1" w:styleId="Char0">
    <w:name w:val="页脚 Char"/>
    <w:basedOn w:val="a0"/>
    <w:link w:val="a4"/>
    <w:uiPriority w:val="99"/>
    <w:rsid w:val="0068100A"/>
    <w:rPr>
      <w:sz w:val="18"/>
      <w:szCs w:val="18"/>
    </w:rPr>
  </w:style>
  <w:style w:type="paragraph" w:styleId="a5">
    <w:name w:val="Balloon Text"/>
    <w:basedOn w:val="a"/>
    <w:link w:val="Char1"/>
    <w:uiPriority w:val="99"/>
    <w:semiHidden/>
    <w:unhideWhenUsed/>
    <w:rsid w:val="005C0064"/>
    <w:rPr>
      <w:sz w:val="18"/>
      <w:szCs w:val="18"/>
    </w:rPr>
  </w:style>
  <w:style w:type="character" w:customStyle="1" w:styleId="Char1">
    <w:name w:val="批注框文本 Char"/>
    <w:basedOn w:val="a0"/>
    <w:link w:val="a5"/>
    <w:uiPriority w:val="99"/>
    <w:semiHidden/>
    <w:rsid w:val="005C0064"/>
    <w:rPr>
      <w:sz w:val="18"/>
      <w:szCs w:val="18"/>
    </w:rPr>
  </w:style>
  <w:style w:type="paragraph" w:styleId="a6">
    <w:name w:val="List Paragraph"/>
    <w:basedOn w:val="a"/>
    <w:uiPriority w:val="34"/>
    <w:qFormat/>
    <w:rsid w:val="00B338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林文茸</dc:creator>
  <cp:lastModifiedBy>林文茸</cp:lastModifiedBy>
  <cp:revision>31</cp:revision>
  <cp:lastPrinted>2017-02-28T05:36:00Z</cp:lastPrinted>
  <dcterms:created xsi:type="dcterms:W3CDTF">2017-02-28T05:47:00Z</dcterms:created>
  <dcterms:modified xsi:type="dcterms:W3CDTF">2017-06-07T01:50:00Z</dcterms:modified>
</cp:coreProperties>
</file>